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contextualSpacing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Итоговый рейтинг учреждений социального обслуживания населения по результатам независимой оценки качест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ва условий оказания услуг в 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0" w:type="auto"/>
        <w:tblInd w:w="-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69"/>
        <w:gridCol w:w="6383"/>
        <w:gridCol w:w="1417"/>
        <w:gridCol w:w="1417"/>
      </w:tblGrid>
      <w:tr>
        <w:tblPrEx/>
        <w:trPr/>
        <w:tc>
          <w:tcPr>
            <w:tcW w:w="669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6383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Наименование организации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Итоговый балл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Место в рейтинге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669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6383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Государственное автономное стационарное учреждение социального обслуживания системы социальной защиты населения Пензенской области «Сердобский дом интернат для престарелых и инвалидов»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69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6383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Муниципальное бюджетное учреждение «Комплексный центр социальной помощи семье и детям» Октябрьского района г. Пензы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69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6383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Муниципальное бюджетное учреждение «Комплексный центр социального обслуживания населения города Заречного Пензенской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69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6383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Муниципальное бюджетное учреждение «Бессоновский комплексный центр социальной помощи семье и детям»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69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6383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Муниципальное бюджетное учреждение «Сердобский районный 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69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6383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Государственное бюджетное учреждение «Пензенский областной центр реабилитации»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98,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69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6383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Муниципальное бюджетное учреждение «Центр социальной помощи семье и детям» Железнодорожного района г. Пензы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98,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69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6383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Муниципальное бюджетное учреждение «Наровчатский 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98,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69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6383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Муниципальное бюджетное учреждение «Комплексный центр социального обслуживания населения Белинского района Пензенской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69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6383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Муниципальное бюджетное учреждение «Земетчинский 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69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6383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Муниципальное бюджетное учреждение «Комплексный центр социального обслуживания населения Никольского района Пензенской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69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6383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Муниципальное бюджетное учреждение «Комплексный центр социального обслуживания населения Спасского района»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98,4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69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6383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Муниципальное бюджетное учреждение «Комплексный центр социального обслуживания населения Неверкинского района Пензенской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69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6383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Муниципальное бюджетное учреждение «Комплексный центр социального обслуживания населения Лопатинского района Пензенской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69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6383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Муниципальное бюджетное учреждение «Комплексный центр социального обслуживания населения Пензенского района Пензенской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69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6383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Государственное автономное учреждение Пензенской области «Дом ночного пребывания»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69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6383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Муниципальное бюджетное учреждение «Комплексный центр социального обслуживания населения Шемышейского района»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1,6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</w:tbl>
    <w:p>
      <w:pPr>
        <w:pStyle w:val="617"/>
        <w:contextualSpacing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2025-10-28T06:58:55Z</dcterms:modified>
</cp:coreProperties>
</file>